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FB3" w:rsidRPr="000655FB" w:rsidRDefault="000655FB" w:rsidP="000655FB">
      <w:pPr>
        <w:jc w:val="center"/>
        <w:rPr>
          <w:b/>
          <w:sz w:val="28"/>
          <w:szCs w:val="28"/>
        </w:rPr>
      </w:pPr>
      <w:bookmarkStart w:id="0" w:name="_GoBack"/>
      <w:bookmarkEnd w:id="0"/>
      <w:r w:rsidRPr="000655FB">
        <w:rPr>
          <w:b/>
          <w:sz w:val="28"/>
          <w:szCs w:val="28"/>
        </w:rPr>
        <w:t>Triennial Strategic Plan</w:t>
      </w:r>
    </w:p>
    <w:p w:rsidR="000655FB" w:rsidRPr="000655FB" w:rsidRDefault="000655FB" w:rsidP="000655FB">
      <w:pPr>
        <w:jc w:val="center"/>
        <w:rPr>
          <w:b/>
          <w:sz w:val="28"/>
          <w:szCs w:val="28"/>
        </w:rPr>
      </w:pPr>
      <w:r w:rsidRPr="000655FB">
        <w:rPr>
          <w:b/>
          <w:sz w:val="28"/>
          <w:szCs w:val="28"/>
        </w:rPr>
        <w:t>TRB Committee AFB65, Stormwater</w:t>
      </w:r>
    </w:p>
    <w:p w:rsidR="000655FB" w:rsidRDefault="000655FB" w:rsidP="000655FB">
      <w:pPr>
        <w:jc w:val="center"/>
      </w:pPr>
      <w:r>
        <w:t>June 2017</w:t>
      </w:r>
    </w:p>
    <w:p w:rsidR="000655FB" w:rsidRDefault="000655FB" w:rsidP="000655FB">
      <w:pPr>
        <w:spacing w:after="0" w:line="240" w:lineRule="auto"/>
      </w:pPr>
      <w:r>
        <w:t>Stormwater management is a rapidly evolving field that will continue to be a significant focus for DOTs over the long-term.  Committee AFB65 fulfills a strategic need to promote both fundamental and applied knowledge within TRB for stormwater, and provide a leadersh</w:t>
      </w:r>
      <w:r w:rsidR="00F529D2">
        <w:t xml:space="preserve">ip role for TRB in this sector. </w:t>
      </w:r>
      <w:r>
        <w:t xml:space="preserve"> Stormwater management is a key factor in project delivery and operation and maintenance for departments of transportation (DOTs) as well as other transportation agencies, based on project environmental requirements, laws, and the desire of the public for improved water quality, water resources and r</w:t>
      </w:r>
      <w:r w:rsidR="00F529D2">
        <w:t xml:space="preserve">eceiving water beneficial uses. </w:t>
      </w:r>
      <w:r>
        <w:t xml:space="preserve"> Stormwater research and infrastructure is a significant part of the cost of DOT projects and has long term environmental impacts for all transportation facility owners. </w:t>
      </w:r>
      <w:r w:rsidR="00F529D2">
        <w:t xml:space="preserve"> </w:t>
      </w:r>
      <w:r>
        <w:t>This committee provides a national forum for transportation stormwater, and supports other TRB committees in fulfilling their objectives by ensuring that the stormwater portion of the project development process and operation and maintenance is adequately represented and considered in all applicable projects.</w:t>
      </w:r>
    </w:p>
    <w:p w:rsidR="000655FB" w:rsidRDefault="000655FB" w:rsidP="000655FB"/>
    <w:p w:rsidR="000655FB" w:rsidRPr="009207EA" w:rsidRDefault="000655FB" w:rsidP="000655FB">
      <w:pPr>
        <w:pStyle w:val="ListParagraph"/>
        <w:numPr>
          <w:ilvl w:val="0"/>
          <w:numId w:val="1"/>
        </w:numPr>
        <w:ind w:left="0" w:firstLine="0"/>
        <w:rPr>
          <w:b/>
          <w:i/>
        </w:rPr>
      </w:pPr>
      <w:r w:rsidRPr="009207EA">
        <w:rPr>
          <w:b/>
          <w:i/>
        </w:rPr>
        <w:t>Committee Future Outlook Statement</w:t>
      </w:r>
    </w:p>
    <w:p w:rsidR="000655FB" w:rsidRDefault="000655FB" w:rsidP="000655FB">
      <w:pPr>
        <w:spacing w:after="0" w:line="240" w:lineRule="auto"/>
      </w:pPr>
      <w:r>
        <w:t xml:space="preserve">The purpose of this Committee is to support DOT stormwater programs charged with compliance with the Clean Water Act and protection of the beneficial uses of receiving waters.  The Stormwater Committee is charged with providing technical support to ensure that DOTs have the appropriate tools and technical understanding to protect the chemical, biological, and physical integrity of the </w:t>
      </w:r>
      <w:r w:rsidR="00E0465E">
        <w:t xml:space="preserve">nation’s receiving waters.  </w:t>
      </w:r>
      <w:r>
        <w:t xml:space="preserve">This will require interface with a variety of aspects of DOT support functions including environmental, operation and maintenance, asset management, construction and design.   </w:t>
      </w:r>
    </w:p>
    <w:p w:rsidR="000655FB" w:rsidRDefault="000655FB" w:rsidP="000655FB">
      <w:pPr>
        <w:spacing w:after="0" w:line="240" w:lineRule="auto"/>
      </w:pPr>
    </w:p>
    <w:p w:rsidR="000655FB" w:rsidRDefault="000655FB" w:rsidP="000655FB">
      <w:pPr>
        <w:spacing w:after="0" w:line="240" w:lineRule="auto"/>
        <w:rPr>
          <w:b/>
        </w:rPr>
      </w:pPr>
      <w:r w:rsidRPr="000655FB">
        <w:rPr>
          <w:b/>
        </w:rPr>
        <w:t>Committee AFB65 Scope</w:t>
      </w:r>
    </w:p>
    <w:p w:rsidR="000655FB" w:rsidRPr="000655FB" w:rsidRDefault="000655FB" w:rsidP="000655FB">
      <w:pPr>
        <w:spacing w:after="0" w:line="240" w:lineRule="auto"/>
        <w:rPr>
          <w:b/>
        </w:rPr>
      </w:pPr>
    </w:p>
    <w:p w:rsidR="000655FB" w:rsidRPr="000655FB" w:rsidRDefault="000655FB" w:rsidP="000655FB">
      <w:pPr>
        <w:spacing w:after="0" w:line="240" w:lineRule="auto"/>
      </w:pPr>
      <w:r w:rsidRPr="000655FB">
        <w:t>This committee is concerne</w:t>
      </w:r>
      <w:r w:rsidR="008E79DF">
        <w:t>d with the</w:t>
      </w:r>
      <w:r w:rsidR="008E79DF" w:rsidRPr="008E79DF">
        <w:t xml:space="preserve"> search for knowledge and techniques for the development of methods, procedures</w:t>
      </w:r>
      <w:r w:rsidR="008E79DF">
        <w:t xml:space="preserve"> and</w:t>
      </w:r>
      <w:r w:rsidR="008E79DF" w:rsidRPr="008E79DF">
        <w:t xml:space="preserve"> processes</w:t>
      </w:r>
      <w:r w:rsidR="008E79DF">
        <w:t xml:space="preserve"> necessary for the </w:t>
      </w:r>
      <w:r w:rsidRPr="000655FB">
        <w:t xml:space="preserve">design and construction of transportation related stormwater facilities to address runoff pollutants, methods for managing stormwater volume and flow, and methods for improving water supply and stormwater quality. </w:t>
      </w:r>
    </w:p>
    <w:p w:rsidR="000655FB" w:rsidRDefault="000655FB" w:rsidP="000655FB"/>
    <w:p w:rsidR="000655FB" w:rsidRPr="00177339" w:rsidRDefault="00177339" w:rsidP="000655FB">
      <w:pPr>
        <w:rPr>
          <w:b/>
        </w:rPr>
      </w:pPr>
      <w:r w:rsidRPr="00177339">
        <w:rPr>
          <w:b/>
        </w:rPr>
        <w:t>Short-term Drivers</w:t>
      </w:r>
    </w:p>
    <w:p w:rsidR="000655FB" w:rsidRDefault="00177339" w:rsidP="000655FB">
      <w:r>
        <w:t>Short-term</w:t>
      </w:r>
      <w:r w:rsidR="00E0465E">
        <w:t xml:space="preserve"> drivers in the s</w:t>
      </w:r>
      <w:r>
        <w:t xml:space="preserve">tormwater sector are focused on </w:t>
      </w:r>
      <w:r w:rsidR="00206484">
        <w:t xml:space="preserve">research into </w:t>
      </w:r>
      <w:r>
        <w:t xml:space="preserve">efficient </w:t>
      </w:r>
      <w:r w:rsidR="00E0465E">
        <w:t>Municipal Separate Storm Sewer Systems (</w:t>
      </w:r>
      <w:r>
        <w:t>MS4</w:t>
      </w:r>
      <w:r w:rsidR="00E0465E">
        <w:t>)</w:t>
      </w:r>
      <w:r>
        <w:t xml:space="preserve"> program implementation.  The Committee has identified the following areas to pursue over a one to three year time period:</w:t>
      </w:r>
    </w:p>
    <w:p w:rsidR="00177339" w:rsidRDefault="00177339" w:rsidP="00177339">
      <w:pPr>
        <w:pStyle w:val="ListParagraph"/>
        <w:numPr>
          <w:ilvl w:val="0"/>
          <w:numId w:val="2"/>
        </w:numPr>
      </w:pPr>
      <w:r>
        <w:t xml:space="preserve">Cooperating with MS4 programs.  DOTs share corporate boundaries with municipalities and other MS4 programs, but may have limited collaboration in </w:t>
      </w:r>
      <w:r w:rsidR="00E0465E">
        <w:t>s</w:t>
      </w:r>
      <w:r>
        <w:t>tormwater program implementation.  The Committee will assess barriers to cooperation and tools for cooperation with MS4s.</w:t>
      </w:r>
    </w:p>
    <w:p w:rsidR="00177339" w:rsidRDefault="00177339" w:rsidP="00177339">
      <w:pPr>
        <w:pStyle w:val="ListParagraph"/>
        <w:numPr>
          <w:ilvl w:val="0"/>
          <w:numId w:val="2"/>
        </w:numPr>
      </w:pPr>
      <w:r>
        <w:t>Asset Management.  DOTs may have little available asset information on the MS4, but such information is key to deve</w:t>
      </w:r>
      <w:r w:rsidR="00E0465E">
        <w:t>lop an efficient and effective stormwater program. The C</w:t>
      </w:r>
      <w:r>
        <w:t xml:space="preserve">ommittee </w:t>
      </w:r>
      <w:r>
        <w:lastRenderedPageBreak/>
        <w:t>will assess the attributes of high-performing DOT asset management programs with an eye on technology transfer opportunities</w:t>
      </w:r>
    </w:p>
    <w:p w:rsidR="00177339" w:rsidRDefault="00177339" w:rsidP="00177339">
      <w:pPr>
        <w:pStyle w:val="ListParagraph"/>
        <w:numPr>
          <w:ilvl w:val="0"/>
          <w:numId w:val="2"/>
        </w:numPr>
      </w:pPr>
      <w:r>
        <w:t>Public education.  Every MS4 NPDES permit requires a public education element.  Public education may be more effective if a common message is used.  The Committee will explore options for collaboration at the state level, or between MS4s for the public information element</w:t>
      </w:r>
    </w:p>
    <w:p w:rsidR="00177339" w:rsidRDefault="00177339" w:rsidP="00177339">
      <w:pPr>
        <w:rPr>
          <w:b/>
        </w:rPr>
      </w:pPr>
      <w:r w:rsidRPr="00177339">
        <w:rPr>
          <w:b/>
        </w:rPr>
        <w:t>Long-Term Drivers</w:t>
      </w:r>
    </w:p>
    <w:p w:rsidR="00177339" w:rsidRDefault="00206484" w:rsidP="00177339">
      <w:r>
        <w:t>Long-term drivers in the s</w:t>
      </w:r>
      <w:r w:rsidR="00177339">
        <w:t>tormwater sector are focused on implementation of elements of the Clean Water Act that lack a clearly defined pathway.  The Committee has identified the following areas to pursue over a four to seven year time period:</w:t>
      </w:r>
    </w:p>
    <w:p w:rsidR="00177339" w:rsidRDefault="00177339" w:rsidP="00177339">
      <w:pPr>
        <w:pStyle w:val="ListParagraph"/>
        <w:numPr>
          <w:ilvl w:val="0"/>
          <w:numId w:val="3"/>
        </w:numPr>
      </w:pPr>
      <w:r>
        <w:t>Total Maximum Daily Loads (TMDLs).  DOTs are being named as stakeholders in TMDLs, sometimes with a limited practical nexus, and usually with few options for meeting their waste load allocation</w:t>
      </w:r>
      <w:r w:rsidR="00E0465E">
        <w:t>s</w:t>
      </w:r>
      <w:r>
        <w:t xml:space="preserve">.  The Committee will explore </w:t>
      </w:r>
      <w:r w:rsidR="00AD766F">
        <w:t>how DOTs should work with the TMDL program.</w:t>
      </w:r>
    </w:p>
    <w:p w:rsidR="00AD766F" w:rsidRDefault="00AD766F" w:rsidP="00177339">
      <w:pPr>
        <w:pStyle w:val="ListParagraph"/>
        <w:numPr>
          <w:ilvl w:val="0"/>
          <w:numId w:val="3"/>
        </w:numPr>
      </w:pPr>
      <w:r>
        <w:t>Pervious pavements.  Pervious p</w:t>
      </w:r>
      <w:r w:rsidR="008E79DF">
        <w:t>avements hold promise for both s</w:t>
      </w:r>
      <w:r>
        <w:t>tormwater quality and quantity improvement and reduction.  There are significant technical challenges to their application in the highway environment.  The Committee will work with other TRB Committees to address this topic.</w:t>
      </w:r>
    </w:p>
    <w:p w:rsidR="00AD766F" w:rsidRDefault="00AD766F" w:rsidP="00177339">
      <w:pPr>
        <w:pStyle w:val="ListParagraph"/>
        <w:numPr>
          <w:ilvl w:val="0"/>
          <w:numId w:val="3"/>
        </w:numPr>
      </w:pPr>
      <w:r>
        <w:t>Watershed approach to CWA implementation.  A watershed approach to implementation of the CWA promises the most effective program for the least cost.  The Committee will explore elements of this approach for application for DOTs.</w:t>
      </w:r>
    </w:p>
    <w:p w:rsidR="00AD766F" w:rsidRDefault="00AD766F" w:rsidP="00177339">
      <w:pPr>
        <w:pStyle w:val="ListParagraph"/>
        <w:numPr>
          <w:ilvl w:val="0"/>
          <w:numId w:val="3"/>
        </w:numPr>
      </w:pPr>
      <w:r>
        <w:t>Trading and equivalency.  A topic that is integral to application of a watershe</w:t>
      </w:r>
      <w:r w:rsidR="008E79DF">
        <w:t>d approach, credit trading for s</w:t>
      </w:r>
      <w:r>
        <w:t>tormwater program implementation, especially TMDL compliance, shows promise to improve program performance and reduce implementation cost.</w:t>
      </w:r>
    </w:p>
    <w:p w:rsidR="009207EA" w:rsidRDefault="00AD766F" w:rsidP="00AD766F">
      <w:r>
        <w:t xml:space="preserve">The drivers described above will be pursued within a practical framework that mirrors </w:t>
      </w:r>
      <w:r w:rsidR="009207EA">
        <w:t>a</w:t>
      </w:r>
      <w:r>
        <w:t xml:space="preserve"> DOT implementation strategy</w:t>
      </w:r>
      <w:r w:rsidR="009207EA">
        <w:t xml:space="preserve">: </w:t>
      </w:r>
    </w:p>
    <w:p w:rsidR="009207EA" w:rsidRDefault="00AD766F" w:rsidP="009207EA">
      <w:pPr>
        <w:pStyle w:val="ListParagraph"/>
        <w:numPr>
          <w:ilvl w:val="0"/>
          <w:numId w:val="4"/>
        </w:numPr>
      </w:pPr>
      <w:r>
        <w:t xml:space="preserve">Program and Permit, </w:t>
      </w:r>
    </w:p>
    <w:p w:rsidR="009207EA" w:rsidRDefault="00AD766F" w:rsidP="009207EA">
      <w:pPr>
        <w:pStyle w:val="ListParagraph"/>
        <w:numPr>
          <w:ilvl w:val="0"/>
          <w:numId w:val="4"/>
        </w:numPr>
      </w:pPr>
      <w:r>
        <w:t xml:space="preserve">Research, </w:t>
      </w:r>
    </w:p>
    <w:p w:rsidR="00AD766F" w:rsidRDefault="00AD766F" w:rsidP="009207EA">
      <w:pPr>
        <w:pStyle w:val="ListParagraph"/>
        <w:numPr>
          <w:ilvl w:val="0"/>
          <w:numId w:val="4"/>
        </w:numPr>
      </w:pPr>
      <w:r>
        <w:t>Strategic approach.</w:t>
      </w:r>
      <w:r w:rsidR="009207EA">
        <w:br/>
      </w:r>
    </w:p>
    <w:p w:rsidR="00177339" w:rsidRPr="009207EA" w:rsidRDefault="009207EA" w:rsidP="009207EA">
      <w:pPr>
        <w:pStyle w:val="ListParagraph"/>
        <w:numPr>
          <w:ilvl w:val="0"/>
          <w:numId w:val="1"/>
        </w:numPr>
        <w:ind w:left="0" w:firstLine="0"/>
        <w:rPr>
          <w:b/>
          <w:i/>
        </w:rPr>
      </w:pPr>
      <w:r>
        <w:rPr>
          <w:b/>
          <w:i/>
        </w:rPr>
        <w:t xml:space="preserve">Committee </w:t>
      </w:r>
      <w:r w:rsidRPr="009207EA">
        <w:rPr>
          <w:b/>
          <w:i/>
        </w:rPr>
        <w:t>Plan</w:t>
      </w:r>
    </w:p>
    <w:p w:rsidR="009207EA" w:rsidRDefault="009207EA" w:rsidP="00177339">
      <w:r>
        <w:t xml:space="preserve">DOT </w:t>
      </w:r>
      <w:r w:rsidR="00851F9A">
        <w:t>s</w:t>
      </w:r>
      <w:r>
        <w:t>tormwater program</w:t>
      </w:r>
      <w:r w:rsidR="00851F9A">
        <w:t>s</w:t>
      </w:r>
      <w:r>
        <w:t xml:space="preserve"> will likely be in flux fo</w:t>
      </w:r>
      <w:r w:rsidR="00851F9A">
        <w:t>r the foreseeable future.  The Interstate Highway S</w:t>
      </w:r>
      <w:r>
        <w:t xml:space="preserve">ystem is largely complete, and </w:t>
      </w:r>
      <w:r w:rsidR="00851F9A">
        <w:t>regulatory pressure</w:t>
      </w:r>
      <w:r>
        <w:t xml:space="preserve"> to improve runoff water quality will require retrofit of existing infrastructure, and up</w:t>
      </w:r>
      <w:r w:rsidR="00851F9A">
        <w:t>-</w:t>
      </w:r>
      <w:r>
        <w:t>fitting during reconstruction, rehabilitation and modernization projects.  This</w:t>
      </w:r>
      <w:r w:rsidR="00E52D29">
        <w:t xml:space="preserve"> reality is</w:t>
      </w:r>
      <w:r>
        <w:t xml:space="preserve"> against a backdrop of change at the federal and state levels, with states potentially taking a more active role in the implementation of </w:t>
      </w:r>
      <w:r w:rsidR="00851F9A">
        <w:t xml:space="preserve">programs now part of </w:t>
      </w:r>
      <w:r>
        <w:t xml:space="preserve">the Clean Water Act.  </w:t>
      </w:r>
    </w:p>
    <w:p w:rsidR="009207EA" w:rsidRDefault="009207EA" w:rsidP="00177339">
      <w:r>
        <w:t>The Committee will undertake the following projects in the next three years in response to the short-term and long-term drivers identified in the Outlook Statement:</w:t>
      </w:r>
    </w:p>
    <w:p w:rsidR="009207EA" w:rsidRDefault="009207EA" w:rsidP="009207EA">
      <w:pPr>
        <w:pStyle w:val="ListParagraph"/>
        <w:numPr>
          <w:ilvl w:val="0"/>
          <w:numId w:val="5"/>
        </w:numPr>
      </w:pPr>
      <w:r>
        <w:t>Lectern session each year at TRB</w:t>
      </w:r>
      <w:r w:rsidR="00BC3BE1">
        <w:t xml:space="preserve"> annual meeting</w:t>
      </w:r>
    </w:p>
    <w:p w:rsidR="009207EA" w:rsidRDefault="009207EA" w:rsidP="009207EA">
      <w:pPr>
        <w:pStyle w:val="ListParagraph"/>
        <w:numPr>
          <w:ilvl w:val="0"/>
          <w:numId w:val="5"/>
        </w:numPr>
      </w:pPr>
      <w:r>
        <w:t>Joint session each year at TRB</w:t>
      </w:r>
      <w:r w:rsidR="00BC3BE1">
        <w:t xml:space="preserve"> annual meeting</w:t>
      </w:r>
    </w:p>
    <w:p w:rsidR="009207EA" w:rsidRDefault="009207EA" w:rsidP="009207EA">
      <w:pPr>
        <w:pStyle w:val="ListParagraph"/>
        <w:numPr>
          <w:ilvl w:val="0"/>
          <w:numId w:val="5"/>
        </w:numPr>
      </w:pPr>
      <w:r>
        <w:t>Workshop every other year at TRB</w:t>
      </w:r>
      <w:r w:rsidR="00BC3BE1">
        <w:t xml:space="preserve"> annual meeting</w:t>
      </w:r>
    </w:p>
    <w:p w:rsidR="009207EA" w:rsidRDefault="009207EA" w:rsidP="009207EA">
      <w:pPr>
        <w:pStyle w:val="ListParagraph"/>
        <w:numPr>
          <w:ilvl w:val="0"/>
          <w:numId w:val="5"/>
        </w:numPr>
      </w:pPr>
      <w:r>
        <w:t>Webinar every other year</w:t>
      </w:r>
    </w:p>
    <w:p w:rsidR="009207EA" w:rsidRDefault="009207EA" w:rsidP="009207EA">
      <w:pPr>
        <w:pStyle w:val="ListParagraph"/>
        <w:numPr>
          <w:ilvl w:val="0"/>
          <w:numId w:val="5"/>
        </w:numPr>
      </w:pPr>
      <w:r>
        <w:t>R</w:t>
      </w:r>
      <w:r w:rsidR="00BC3BE1">
        <w:t xml:space="preserve">esearch </w:t>
      </w:r>
      <w:r>
        <w:t>N</w:t>
      </w:r>
      <w:r w:rsidR="00BC3BE1">
        <w:t xml:space="preserve">eeds </w:t>
      </w:r>
      <w:r>
        <w:t>S</w:t>
      </w:r>
      <w:r w:rsidR="00BC3BE1">
        <w:t>tatements</w:t>
      </w:r>
      <w:r>
        <w:t xml:space="preserve"> </w:t>
      </w:r>
      <w:r w:rsidR="00397811">
        <w:t xml:space="preserve">(RNS) </w:t>
      </w:r>
      <w:r>
        <w:t>and Synthesis topics submitted each year.</w:t>
      </w:r>
    </w:p>
    <w:p w:rsidR="009207EA" w:rsidRDefault="009207EA" w:rsidP="009207EA">
      <w:r>
        <w:t>The Committee plans to collaborate with other committees in the Design and Construction Group on cross-cutting issues.  Committees identified for collaboration are:</w:t>
      </w:r>
    </w:p>
    <w:p w:rsidR="00BC3BE1" w:rsidRDefault="00BC3BE1" w:rsidP="0058501C">
      <w:pPr>
        <w:pStyle w:val="ListParagraph"/>
        <w:numPr>
          <w:ilvl w:val="0"/>
          <w:numId w:val="6"/>
        </w:numPr>
      </w:pPr>
      <w:r>
        <w:t>ADC10 Environmental Analysis in Transportation</w:t>
      </w:r>
    </w:p>
    <w:p w:rsidR="00397811" w:rsidRDefault="00397811" w:rsidP="0058501C">
      <w:pPr>
        <w:pStyle w:val="ListParagraph"/>
        <w:numPr>
          <w:ilvl w:val="0"/>
          <w:numId w:val="6"/>
        </w:numPr>
      </w:pPr>
      <w:r>
        <w:t>ADC60 Resource Conservation and Recovery</w:t>
      </w:r>
    </w:p>
    <w:p w:rsidR="009207EA" w:rsidRDefault="0058501C" w:rsidP="0058501C">
      <w:pPr>
        <w:pStyle w:val="ListParagraph"/>
        <w:numPr>
          <w:ilvl w:val="0"/>
          <w:numId w:val="6"/>
        </w:numPr>
      </w:pPr>
      <w:r>
        <w:t>AFB30 Low-Volume Roads</w:t>
      </w:r>
    </w:p>
    <w:p w:rsidR="0058501C" w:rsidRDefault="0058501C" w:rsidP="0058501C">
      <w:pPr>
        <w:pStyle w:val="ListParagraph"/>
        <w:numPr>
          <w:ilvl w:val="0"/>
          <w:numId w:val="6"/>
        </w:numPr>
      </w:pPr>
      <w:r>
        <w:t>AFB40 Landscape and Environmental Design</w:t>
      </w:r>
    </w:p>
    <w:p w:rsidR="0058501C" w:rsidRDefault="0058501C" w:rsidP="0058501C">
      <w:pPr>
        <w:pStyle w:val="ListParagraph"/>
        <w:numPr>
          <w:ilvl w:val="0"/>
          <w:numId w:val="6"/>
        </w:numPr>
      </w:pPr>
      <w:r>
        <w:t>AFB60 Hydrology and Hydraulics</w:t>
      </w:r>
    </w:p>
    <w:p w:rsidR="0058501C" w:rsidRDefault="0058501C" w:rsidP="0058501C">
      <w:pPr>
        <w:pStyle w:val="ListParagraph"/>
        <w:numPr>
          <w:ilvl w:val="0"/>
          <w:numId w:val="6"/>
        </w:numPr>
      </w:pPr>
      <w:r>
        <w:t>AFD30 General and Emerging Pavement Design</w:t>
      </w:r>
    </w:p>
    <w:p w:rsidR="0058501C" w:rsidRDefault="0058501C" w:rsidP="0058501C">
      <w:r>
        <w:t xml:space="preserve">The Committee </w:t>
      </w:r>
      <w:r w:rsidR="00E52D29">
        <w:t>plans to explore the use of pervious pavements for water quality in the highway system particularly the use of pervious shoulders.  Landscape and environmental design is another area with a direct nexus to Stormwater green infrastructure, which includes hydrology and hydraulics in design and may best be implemented on a pilot basis on low volume roads.</w:t>
      </w:r>
    </w:p>
    <w:p w:rsidR="00E52D29" w:rsidRDefault="00E52D29" w:rsidP="0058501C">
      <w:r>
        <w:t>The Committee has established a website, and will post and host the following content on the site:</w:t>
      </w:r>
    </w:p>
    <w:p w:rsidR="00E52D29" w:rsidRDefault="00E52D29" w:rsidP="00E52D29">
      <w:pPr>
        <w:pStyle w:val="ListParagraph"/>
        <w:numPr>
          <w:ilvl w:val="0"/>
          <w:numId w:val="7"/>
        </w:numPr>
      </w:pPr>
      <w:r>
        <w:t>RNS</w:t>
      </w:r>
    </w:p>
    <w:p w:rsidR="00E52D29" w:rsidRDefault="00E52D29" w:rsidP="00E52D29">
      <w:pPr>
        <w:pStyle w:val="ListParagraph"/>
        <w:numPr>
          <w:ilvl w:val="0"/>
          <w:numId w:val="7"/>
        </w:numPr>
      </w:pPr>
      <w:r>
        <w:t>Synthesis topics</w:t>
      </w:r>
    </w:p>
    <w:p w:rsidR="00E52D29" w:rsidRDefault="00E52D29" w:rsidP="00E52D29">
      <w:pPr>
        <w:pStyle w:val="ListParagraph"/>
        <w:numPr>
          <w:ilvl w:val="0"/>
          <w:numId w:val="7"/>
        </w:numPr>
      </w:pPr>
      <w:r>
        <w:t>Webinar and workshop materials</w:t>
      </w:r>
    </w:p>
    <w:p w:rsidR="00E52D29" w:rsidRDefault="00E52D29" w:rsidP="00E52D29">
      <w:pPr>
        <w:pStyle w:val="ListParagraph"/>
        <w:numPr>
          <w:ilvl w:val="0"/>
          <w:numId w:val="7"/>
        </w:numPr>
      </w:pPr>
      <w:r>
        <w:t>Member forum</w:t>
      </w:r>
    </w:p>
    <w:p w:rsidR="00E52D29" w:rsidRDefault="00E52D29" w:rsidP="00E52D29">
      <w:pPr>
        <w:pStyle w:val="ListParagraph"/>
        <w:numPr>
          <w:ilvl w:val="0"/>
          <w:numId w:val="7"/>
        </w:numPr>
      </w:pPr>
      <w:r>
        <w:t>Triennial Strategic Plan</w:t>
      </w:r>
    </w:p>
    <w:p w:rsidR="00E52D29" w:rsidRDefault="00E52D29" w:rsidP="00E52D29">
      <w:pPr>
        <w:pStyle w:val="ListParagraph"/>
        <w:numPr>
          <w:ilvl w:val="0"/>
          <w:numId w:val="7"/>
        </w:numPr>
      </w:pPr>
      <w:r>
        <w:t>Useful links</w:t>
      </w:r>
    </w:p>
    <w:p w:rsidR="00E52D29" w:rsidRDefault="00E52D29" w:rsidP="00E52D29">
      <w:pPr>
        <w:rPr>
          <w:b/>
          <w:i/>
        </w:rPr>
      </w:pPr>
      <w:r>
        <w:rPr>
          <w:b/>
          <w:i/>
        </w:rPr>
        <w:t>3.</w:t>
      </w:r>
      <w:r>
        <w:rPr>
          <w:b/>
          <w:i/>
        </w:rPr>
        <w:tab/>
        <w:t>Committee History</w:t>
      </w:r>
    </w:p>
    <w:p w:rsidR="00E52D29" w:rsidRPr="00E52D29" w:rsidRDefault="00E52D29" w:rsidP="00E52D29">
      <w:r>
        <w:t>The Committee is new in 2017, and does not have a history per se</w:t>
      </w:r>
      <w:r w:rsidR="00397811">
        <w:t>, only to state that the committee was an outgrowth of the AFB60 Water Quality Subcommittee, which existed for many years</w:t>
      </w:r>
      <w:r>
        <w:t>.  This section will be completed with the next TSP revision.</w:t>
      </w:r>
    </w:p>
    <w:sectPr w:rsidR="00E52D29" w:rsidRPr="00E52D2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B5C" w:rsidRDefault="000C5B5C" w:rsidP="00BC3BE1">
      <w:pPr>
        <w:spacing w:after="0" w:line="240" w:lineRule="auto"/>
      </w:pPr>
      <w:r>
        <w:separator/>
      </w:r>
    </w:p>
  </w:endnote>
  <w:endnote w:type="continuationSeparator" w:id="0">
    <w:p w:rsidR="000C5B5C" w:rsidRDefault="000C5B5C" w:rsidP="00BC3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517136"/>
      <w:docPartObj>
        <w:docPartGallery w:val="Page Numbers (Bottom of Page)"/>
        <w:docPartUnique/>
      </w:docPartObj>
    </w:sdtPr>
    <w:sdtEndPr>
      <w:rPr>
        <w:color w:val="7F7F7F" w:themeColor="background1" w:themeShade="7F"/>
        <w:spacing w:val="60"/>
      </w:rPr>
    </w:sdtEndPr>
    <w:sdtContent>
      <w:p w:rsidR="00344CEB" w:rsidRDefault="00344CE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5B5C" w:rsidRPr="000C5B5C">
          <w:rPr>
            <w:b/>
            <w:bCs/>
            <w:noProof/>
          </w:rPr>
          <w:t>1</w:t>
        </w:r>
        <w:r>
          <w:rPr>
            <w:b/>
            <w:bCs/>
            <w:noProof/>
          </w:rPr>
          <w:fldChar w:fldCharType="end"/>
        </w:r>
        <w:r>
          <w:rPr>
            <w:b/>
            <w:bCs/>
          </w:rPr>
          <w:t xml:space="preserve"> | </w:t>
        </w:r>
        <w:r>
          <w:rPr>
            <w:color w:val="7F7F7F" w:themeColor="background1" w:themeShade="7F"/>
            <w:spacing w:val="60"/>
          </w:rPr>
          <w:t>AFB65 Triennial Strategic Plan</w:t>
        </w:r>
      </w:p>
    </w:sdtContent>
  </w:sdt>
  <w:p w:rsidR="00344CEB" w:rsidRDefault="00344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B5C" w:rsidRDefault="000C5B5C" w:rsidP="00BC3BE1">
      <w:pPr>
        <w:spacing w:after="0" w:line="240" w:lineRule="auto"/>
      </w:pPr>
      <w:r>
        <w:separator/>
      </w:r>
    </w:p>
  </w:footnote>
  <w:footnote w:type="continuationSeparator" w:id="0">
    <w:p w:rsidR="000C5B5C" w:rsidRDefault="000C5B5C" w:rsidP="00BC3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976026"/>
      <w:docPartObj>
        <w:docPartGallery w:val="Watermarks"/>
        <w:docPartUnique/>
      </w:docPartObj>
    </w:sdtPr>
    <w:sdtContent>
      <w:p w:rsidR="00BC3BE1" w:rsidRDefault="00BC3B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4502" o:spid="_x0000_s2049" type="#_x0000_t136" style="position:absolute;margin-left:0;margin-top:0;width:412.4pt;height:247.45pt;rotation:315;z-index:-251657216;mso-position-horizontal:center;mso-position-horizontal-relative:margin;mso-position-vertical:center;mso-position-vertical-relative:margin" o:allowincell="f" fillcolor="#bfbfbf [2412]" stroked="f">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4B4D"/>
    <w:multiLevelType w:val="hybridMultilevel"/>
    <w:tmpl w:val="407C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D6F50"/>
    <w:multiLevelType w:val="hybridMultilevel"/>
    <w:tmpl w:val="4AE4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64311"/>
    <w:multiLevelType w:val="hybridMultilevel"/>
    <w:tmpl w:val="3E00E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6C3E78"/>
    <w:multiLevelType w:val="hybridMultilevel"/>
    <w:tmpl w:val="6D84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04D35"/>
    <w:multiLevelType w:val="hybridMultilevel"/>
    <w:tmpl w:val="76A03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20E2E"/>
    <w:multiLevelType w:val="hybridMultilevel"/>
    <w:tmpl w:val="67F8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75220"/>
    <w:multiLevelType w:val="hybridMultilevel"/>
    <w:tmpl w:val="76A03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FB"/>
    <w:rsid w:val="000655FB"/>
    <w:rsid w:val="000C5B5C"/>
    <w:rsid w:val="00177339"/>
    <w:rsid w:val="00206484"/>
    <w:rsid w:val="00266637"/>
    <w:rsid w:val="00344CEB"/>
    <w:rsid w:val="00397811"/>
    <w:rsid w:val="0058501C"/>
    <w:rsid w:val="00851F9A"/>
    <w:rsid w:val="008E79DF"/>
    <w:rsid w:val="009207EA"/>
    <w:rsid w:val="009C6D14"/>
    <w:rsid w:val="009E56D6"/>
    <w:rsid w:val="00AD766F"/>
    <w:rsid w:val="00BC3BE1"/>
    <w:rsid w:val="00D03BFE"/>
    <w:rsid w:val="00E0465E"/>
    <w:rsid w:val="00E52D29"/>
    <w:rsid w:val="00F5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B5573F"/>
  <w15:chartTrackingRefBased/>
  <w15:docId w15:val="{CD5CC59D-AEA4-4ADD-AAAB-1D41030F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5FB"/>
    <w:pPr>
      <w:ind w:left="720"/>
      <w:contextualSpacing/>
    </w:pPr>
  </w:style>
  <w:style w:type="paragraph" w:styleId="Header">
    <w:name w:val="header"/>
    <w:basedOn w:val="Normal"/>
    <w:link w:val="HeaderChar"/>
    <w:uiPriority w:val="99"/>
    <w:unhideWhenUsed/>
    <w:rsid w:val="00BC3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BE1"/>
  </w:style>
  <w:style w:type="paragraph" w:styleId="Footer">
    <w:name w:val="footer"/>
    <w:basedOn w:val="Normal"/>
    <w:link w:val="FooterChar"/>
    <w:uiPriority w:val="99"/>
    <w:unhideWhenUsed/>
    <w:rsid w:val="00BC3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BA"/>
    <w:rsid w:val="00C24C39"/>
    <w:rsid w:val="00E5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1F8316AA6F4C7B8FA91539A465DDCB">
    <w:name w:val="241F8316AA6F4C7B8FA91539A465DDCB"/>
    <w:rsid w:val="00E53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Michael Baker International</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Scott</dc:creator>
  <cp:keywords/>
  <dc:description/>
  <cp:lastModifiedBy>Stone, Ken</cp:lastModifiedBy>
  <cp:revision>6</cp:revision>
  <dcterms:created xsi:type="dcterms:W3CDTF">2017-06-23T20:47:00Z</dcterms:created>
  <dcterms:modified xsi:type="dcterms:W3CDTF">2017-06-23T21:41:00Z</dcterms:modified>
</cp:coreProperties>
</file>